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934"/>
        <w:tblW w:w="0" w:type="auto"/>
        <w:tblLook w:val="04A0" w:firstRow="1" w:lastRow="0" w:firstColumn="1" w:lastColumn="0" w:noHBand="0" w:noVBand="1"/>
      </w:tblPr>
      <w:tblGrid>
        <w:gridCol w:w="4241"/>
      </w:tblGrid>
      <w:tr w:rsidR="009E0D21" w:rsidRPr="0048643F" w14:paraId="5D465BEF" w14:textId="77777777" w:rsidTr="009E0D21">
        <w:trPr>
          <w:trHeight w:val="416"/>
        </w:trPr>
        <w:tc>
          <w:tcPr>
            <w:tcW w:w="4241" w:type="dxa"/>
          </w:tcPr>
          <w:p w14:paraId="68723BF0" w14:textId="77777777" w:rsidR="009E0D21" w:rsidRDefault="009E0D21" w:rsidP="009E0D21">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14:paraId="09F4CD6E" w14:textId="77777777" w:rsidR="009E0D21" w:rsidRPr="003E1807" w:rsidRDefault="009E0D21" w:rsidP="009E0D21">
            <w:pPr>
              <w:rPr>
                <w:b/>
                <w:szCs w:val="22"/>
              </w:rPr>
            </w:pPr>
            <w:r w:rsidRPr="003E1807">
              <w:rPr>
                <w:b/>
                <w:szCs w:val="22"/>
              </w:rPr>
              <w:t>Science</w:t>
            </w:r>
          </w:p>
          <w:p w14:paraId="0F79B361" w14:textId="77777777" w:rsidR="009E0D21" w:rsidRPr="003E1807" w:rsidRDefault="009E0D21" w:rsidP="009E0D21">
            <w:pPr>
              <w:rPr>
                <w:b/>
                <w:sz w:val="20"/>
                <w:szCs w:val="20"/>
              </w:rPr>
            </w:pPr>
            <w:r w:rsidRPr="003E1807">
              <w:rPr>
                <w:b/>
                <w:sz w:val="20"/>
                <w:szCs w:val="20"/>
              </w:rPr>
              <w:t>Science Understanding</w:t>
            </w:r>
          </w:p>
          <w:p w14:paraId="4AE34F7A" w14:textId="77777777" w:rsidR="009E0D21" w:rsidRPr="003E1807" w:rsidRDefault="009E0D21" w:rsidP="009E0D21">
            <w:pPr>
              <w:rPr>
                <w:b/>
                <w:sz w:val="20"/>
                <w:szCs w:val="20"/>
              </w:rPr>
            </w:pPr>
            <w:r w:rsidRPr="003E1807">
              <w:rPr>
                <w:b/>
                <w:sz w:val="20"/>
                <w:szCs w:val="20"/>
              </w:rPr>
              <w:t>Science as a Human Endeavour</w:t>
            </w:r>
          </w:p>
          <w:p w14:paraId="0D6CE0DA" w14:textId="77777777" w:rsidR="009E0D21" w:rsidRPr="003E1807" w:rsidRDefault="009E0D21" w:rsidP="009E0D21">
            <w:pPr>
              <w:rPr>
                <w:sz w:val="20"/>
                <w:szCs w:val="20"/>
              </w:rPr>
            </w:pPr>
            <w:r w:rsidRPr="003E1807">
              <w:rPr>
                <w:sz w:val="20"/>
                <w:szCs w:val="20"/>
              </w:rPr>
              <w:t>Scientific understandings, discoveries and inventions are used to inform personal and community decisions and to solve problems that directly affect people’s lives</w:t>
            </w:r>
          </w:p>
          <w:p w14:paraId="7B9511BB" w14:textId="77777777" w:rsidR="009E0D21" w:rsidRPr="003E1807" w:rsidRDefault="009E0D21" w:rsidP="009E0D21">
            <w:pPr>
              <w:rPr>
                <w:b/>
                <w:sz w:val="20"/>
                <w:szCs w:val="20"/>
              </w:rPr>
            </w:pPr>
            <w:r w:rsidRPr="003E1807">
              <w:rPr>
                <w:b/>
                <w:sz w:val="20"/>
                <w:szCs w:val="20"/>
              </w:rPr>
              <w:t>Chemical sciences</w:t>
            </w:r>
          </w:p>
          <w:p w14:paraId="1E3473AC" w14:textId="3407A03B" w:rsidR="009E0D21" w:rsidRPr="0048643F" w:rsidRDefault="009E0D21" w:rsidP="009C2ADB">
            <w:pPr>
              <w:rPr>
                <w:rFonts w:eastAsiaTheme="majorEastAsia" w:cs="Arial"/>
                <w:bCs/>
                <w:color w:val="000000" w:themeColor="text1"/>
                <w:sz w:val="16"/>
                <w:szCs w:val="16"/>
              </w:rPr>
            </w:pPr>
            <w:r w:rsidRPr="003E1807">
              <w:rPr>
                <w:sz w:val="20"/>
                <w:szCs w:val="20"/>
              </w:rPr>
              <w:t>Solids, liquids and gases behave in different ways and have observable properties that help to classify them</w:t>
            </w:r>
          </w:p>
        </w:tc>
      </w:tr>
    </w:tbl>
    <w:p w14:paraId="162E0B27" w14:textId="4B80A2EA" w:rsidR="0048643F" w:rsidRDefault="00131C60" w:rsidP="0048643F">
      <w:pPr>
        <w:keepNext/>
        <w:keepLines/>
        <w:spacing w:before="240"/>
        <w:outlineLvl w:val="0"/>
        <w:rPr>
          <w:rFonts w:ascii="Century Gothic" w:eastAsiaTheme="majorEastAsia" w:hAnsi="Century Gothic" w:cstheme="majorBidi"/>
          <w:b/>
          <w:bCs/>
          <w:color w:val="000000" w:themeColor="text1"/>
          <w:sz w:val="32"/>
          <w:szCs w:val="28"/>
        </w:rPr>
      </w:pPr>
      <w:r w:rsidRPr="00131C60">
        <w:rPr>
          <w:rFonts w:ascii="Century Gothic" w:eastAsiaTheme="majorEastAsia" w:hAnsi="Century Gothic" w:cstheme="majorBidi"/>
          <w:b/>
          <w:bCs/>
          <w:color w:val="000000" w:themeColor="text1"/>
          <w:sz w:val="32"/>
          <w:szCs w:val="28"/>
        </w:rPr>
        <w:t>Activity</w:t>
      </w:r>
      <w:r>
        <w:rPr>
          <w:rFonts w:ascii="Century Gothic" w:eastAsiaTheme="majorEastAsia" w:hAnsi="Century Gothic" w:cstheme="majorBidi"/>
          <w:b/>
          <w:bCs/>
          <w:color w:val="000000" w:themeColor="text1"/>
          <w:sz w:val="32"/>
          <w:szCs w:val="28"/>
        </w:rPr>
        <w:t>:</w:t>
      </w:r>
      <w:r w:rsidRPr="00131C60">
        <w:rPr>
          <w:rFonts w:ascii="Century Gothic" w:eastAsiaTheme="majorEastAsia" w:hAnsi="Century Gothic" w:cstheme="majorBidi"/>
          <w:b/>
          <w:bCs/>
          <w:color w:val="000000" w:themeColor="text1"/>
          <w:sz w:val="32"/>
          <w:szCs w:val="28"/>
        </w:rPr>
        <w:t xml:space="preserve"> </w:t>
      </w:r>
      <w:r w:rsidR="009C2ADB">
        <w:rPr>
          <w:rFonts w:ascii="Century Gothic" w:eastAsiaTheme="majorEastAsia" w:hAnsi="Century Gothic" w:cstheme="majorBidi"/>
          <w:b/>
          <w:bCs/>
          <w:color w:val="000000" w:themeColor="text1"/>
          <w:sz w:val="32"/>
          <w:szCs w:val="28"/>
        </w:rPr>
        <w:t xml:space="preserve">How would we treat sewage </w:t>
      </w:r>
      <w:r w:rsidR="008B576F">
        <w:rPr>
          <w:rFonts w:ascii="Century Gothic" w:eastAsiaTheme="majorEastAsia" w:hAnsi="Century Gothic" w:cstheme="majorBidi"/>
          <w:b/>
          <w:bCs/>
          <w:color w:val="000000" w:themeColor="text1"/>
          <w:sz w:val="32"/>
          <w:szCs w:val="28"/>
        </w:rPr>
        <w:t>(Years 5 and 6)</w:t>
      </w:r>
    </w:p>
    <w:p w14:paraId="10E8DEE2" w14:textId="098690D2" w:rsidR="008F6509" w:rsidRDefault="00131C60" w:rsidP="008F6509">
      <w:pPr>
        <w:pStyle w:val="Subtitle"/>
      </w:pPr>
      <w:r w:rsidRPr="00131C60">
        <w:t xml:space="preserve">From past to present—at the Western Treatment Plant </w:t>
      </w:r>
    </w:p>
    <w:p w14:paraId="58D90705" w14:textId="6EBD7932" w:rsidR="003E1807" w:rsidRPr="0048643F" w:rsidRDefault="003E1807" w:rsidP="003E1807">
      <w:r w:rsidRPr="000F1906">
        <w:t xml:space="preserve">Students draw on their knowledge about removing solids from water and apply those ideas to predict the types of processes </w:t>
      </w:r>
      <w:r w:rsidR="008D15EF">
        <w:t>are used</w:t>
      </w:r>
      <w:r w:rsidRPr="000F1906">
        <w:t xml:space="preserve"> at the Western Treatment Plant and how they might be carried out.</w:t>
      </w:r>
    </w:p>
    <w:p w14:paraId="600D2FB7" w14:textId="77777777" w:rsidR="000F1906" w:rsidRDefault="000F1906" w:rsidP="000F1906">
      <w:pPr>
        <w:pStyle w:val="Heading2"/>
      </w:pPr>
      <w:r>
        <w:t>Duration</w:t>
      </w:r>
    </w:p>
    <w:p w14:paraId="02919F46" w14:textId="77777777" w:rsidR="000F1906" w:rsidRDefault="000F1906" w:rsidP="000F1906">
      <w:r>
        <w:t>One hour session</w:t>
      </w:r>
    </w:p>
    <w:p w14:paraId="31A311B8" w14:textId="77777777" w:rsidR="000F1906" w:rsidRDefault="000F1906" w:rsidP="000F1906">
      <w:pPr>
        <w:pStyle w:val="Heading2"/>
      </w:pPr>
      <w:r>
        <w:t>Activity</w:t>
      </w:r>
    </w:p>
    <w:p w14:paraId="2618D040" w14:textId="6E9BCB3D" w:rsidR="000F1906" w:rsidRPr="000F1906" w:rsidRDefault="00E9302C" w:rsidP="0098298E">
      <w:pPr>
        <w:pStyle w:val="ListParagraph"/>
      </w:pPr>
      <w:r>
        <w:t>A</w:t>
      </w:r>
      <w:r w:rsidR="000F1906" w:rsidRPr="000F1906">
        <w:t xml:space="preserve">sk students what they </w:t>
      </w:r>
      <w:r>
        <w:t xml:space="preserve">would expect to see at the </w:t>
      </w:r>
      <w:r w:rsidRPr="000F1906">
        <w:t>Western Treatment Plant</w:t>
      </w:r>
      <w:r>
        <w:t>.</w:t>
      </w:r>
      <w:r w:rsidRPr="000F1906">
        <w:t xml:space="preserve"> </w:t>
      </w:r>
      <w:r w:rsidR="000F1906" w:rsidRPr="000F1906">
        <w:t>Lead discussion about:</w:t>
      </w:r>
    </w:p>
    <w:p w14:paraId="34DBB5C8" w14:textId="77777777" w:rsidR="000F1906" w:rsidRPr="000F1906" w:rsidRDefault="000F1906" w:rsidP="0098298E">
      <w:pPr>
        <w:pStyle w:val="ListParagraph"/>
        <w:numPr>
          <w:ilvl w:val="0"/>
          <w:numId w:val="16"/>
        </w:numPr>
      </w:pPr>
      <w:r w:rsidRPr="000F1906">
        <w:t>the types of large solids and suspended solids which may need</w:t>
      </w:r>
    </w:p>
    <w:p w14:paraId="7F66FC40" w14:textId="77777777" w:rsidR="000F1906" w:rsidRPr="000F1906" w:rsidRDefault="000F1906" w:rsidP="0098298E">
      <w:pPr>
        <w:pStyle w:val="ListParagraph"/>
        <w:numPr>
          <w:ilvl w:val="0"/>
          <w:numId w:val="16"/>
        </w:numPr>
      </w:pPr>
      <w:r w:rsidRPr="000F1906">
        <w:t>to be removed and how that might be done</w:t>
      </w:r>
    </w:p>
    <w:p w14:paraId="335BA91B" w14:textId="77777777" w:rsidR="000F1906" w:rsidRPr="000F1906" w:rsidRDefault="000F1906" w:rsidP="0098298E">
      <w:pPr>
        <w:pStyle w:val="ListParagraph"/>
        <w:numPr>
          <w:ilvl w:val="0"/>
          <w:numId w:val="16"/>
        </w:numPr>
      </w:pPr>
      <w:r w:rsidRPr="000F1906">
        <w:t xml:space="preserve">how </w:t>
      </w:r>
      <w:r w:rsidR="00C97B7A">
        <w:t>sewage</w:t>
      </w:r>
      <w:r w:rsidRPr="000F1906">
        <w:t xml:space="preserve"> might be moved around the plant</w:t>
      </w:r>
    </w:p>
    <w:p w14:paraId="2D991975" w14:textId="77777777" w:rsidR="000F1906" w:rsidRPr="000F1906" w:rsidRDefault="000F1906" w:rsidP="0098298E">
      <w:pPr>
        <w:pStyle w:val="ListParagraph"/>
        <w:numPr>
          <w:ilvl w:val="0"/>
          <w:numId w:val="16"/>
        </w:numPr>
      </w:pPr>
      <w:r w:rsidRPr="000F1906">
        <w:t xml:space="preserve">how wastes are removed from </w:t>
      </w:r>
      <w:r w:rsidR="00C97B7A">
        <w:t>sewage</w:t>
      </w:r>
      <w:r w:rsidRPr="000F1906">
        <w:t xml:space="preserve"> to end up with treated water that can be put back into the environment</w:t>
      </w:r>
    </w:p>
    <w:p w14:paraId="2AF371E6" w14:textId="77777777" w:rsidR="000F1906" w:rsidRPr="000F1906" w:rsidRDefault="000F1906" w:rsidP="0098298E">
      <w:pPr>
        <w:pStyle w:val="ListParagraph"/>
        <w:numPr>
          <w:ilvl w:val="0"/>
          <w:numId w:val="16"/>
        </w:numPr>
      </w:pPr>
      <w:r w:rsidRPr="000F1906">
        <w:t>where the treated water ends up</w:t>
      </w:r>
    </w:p>
    <w:p w14:paraId="76032BD3" w14:textId="77777777" w:rsidR="000F1906" w:rsidRPr="000F1906" w:rsidRDefault="000F1906" w:rsidP="0098298E">
      <w:pPr>
        <w:pStyle w:val="ListParagraph"/>
        <w:numPr>
          <w:ilvl w:val="0"/>
          <w:numId w:val="16"/>
        </w:numPr>
      </w:pPr>
      <w:proofErr w:type="gramStart"/>
      <w:r w:rsidRPr="000F1906">
        <w:t>how</w:t>
      </w:r>
      <w:proofErr w:type="gramEnd"/>
      <w:r w:rsidRPr="000F1906">
        <w:t xml:space="preserve"> long the entire process might take.</w:t>
      </w:r>
    </w:p>
    <w:p w14:paraId="0A2CF1E1" w14:textId="77777777" w:rsidR="000F1906" w:rsidRPr="000F1906" w:rsidRDefault="000F1906" w:rsidP="0098298E">
      <w:pPr>
        <w:pStyle w:val="ListParagraph"/>
      </w:pPr>
      <w:r w:rsidRPr="000F1906">
        <w:t>List students’ ideas and question other students in order to ‘piggy back’ on someone else’s ideas. For example, if a student suggests that bits of plastic and solid objects need to be removed, ask another student to explain what they might see at the Western Treatment Plant that has this function. This type of strategy can be used to include those students reluctant to offer ideas as part of a class discussion.</w:t>
      </w:r>
    </w:p>
    <w:p w14:paraId="64E1E924" w14:textId="77777777" w:rsidR="000F1906" w:rsidRPr="000F1906" w:rsidRDefault="000F1906" w:rsidP="0098298E">
      <w:pPr>
        <w:pStyle w:val="ListParagraph"/>
      </w:pPr>
      <w:r w:rsidRPr="000F1906">
        <w:t>Ask students to draw a labelled diagram showing how they think the sewage will be treated, the types of items or substances that need to be removed, what processes might be involved, the machinery that may be used, and where the sewage goes after the treatment process.</w:t>
      </w:r>
    </w:p>
    <w:p w14:paraId="28630A6B" w14:textId="77777777" w:rsidR="000F1906" w:rsidRPr="000F1906" w:rsidRDefault="000F1906" w:rsidP="0098298E">
      <w:pPr>
        <w:pStyle w:val="ListParagraph"/>
      </w:pPr>
      <w:r w:rsidRPr="000F1906">
        <w:t>Display completed, labelled diagrams and look for common ideas and key processes to discuss as a class in further detail.</w:t>
      </w:r>
    </w:p>
    <w:p w14:paraId="2B266483" w14:textId="77777777" w:rsidR="00D26F40" w:rsidRDefault="000F1906" w:rsidP="0098298E">
      <w:pPr>
        <w:pStyle w:val="ListParagraph"/>
      </w:pPr>
      <w:r w:rsidRPr="000F1906">
        <w:t>Complete a class Y chart of what students might see, smell and hear.</w:t>
      </w:r>
      <w:bookmarkStart w:id="0" w:name="_GoBack"/>
      <w:bookmarkEnd w:id="0"/>
    </w:p>
    <w:sectPr w:rsidR="00D26F40" w:rsidSect="009C2ADB">
      <w:footerReference w:type="default" r:id="rId8"/>
      <w:pgSz w:w="11920" w:h="16840"/>
      <w:pgMar w:top="1560" w:right="940" w:bottom="1180" w:left="1560" w:header="0" w:footer="9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88DBB" w14:textId="77777777" w:rsidR="00D01A98" w:rsidRDefault="00D01A98" w:rsidP="0048643F">
      <w:pPr>
        <w:spacing w:before="0" w:after="0"/>
      </w:pPr>
      <w:r>
        <w:separator/>
      </w:r>
    </w:p>
  </w:endnote>
  <w:endnote w:type="continuationSeparator" w:id="0">
    <w:p w14:paraId="0FFBD546" w14:textId="77777777" w:rsidR="00D01A98" w:rsidRDefault="00D01A98"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97079"/>
      <w:docPartObj>
        <w:docPartGallery w:val="Page Numbers (Bottom of Page)"/>
        <w:docPartUnique/>
      </w:docPartObj>
    </w:sdtPr>
    <w:sdtEndPr>
      <w:rPr>
        <w:noProof/>
      </w:rPr>
    </w:sdtEndPr>
    <w:sdtContent>
      <w:p w14:paraId="6662B740" w14:textId="77777777" w:rsidR="00E475EA" w:rsidRDefault="00E475EA">
        <w:pPr>
          <w:pStyle w:val="Footer"/>
          <w:jc w:val="right"/>
        </w:pPr>
        <w:r>
          <w:fldChar w:fldCharType="begin"/>
        </w:r>
        <w:r>
          <w:instrText xml:space="preserve"> PAGE   \* MERGEFORMAT </w:instrText>
        </w:r>
        <w:r>
          <w:fldChar w:fldCharType="separate"/>
        </w:r>
        <w:r w:rsidR="009C2ADB">
          <w:rPr>
            <w:noProof/>
          </w:rPr>
          <w:t>1</w:t>
        </w:r>
        <w:r>
          <w:rPr>
            <w:noProof/>
          </w:rPr>
          <w:fldChar w:fldCharType="end"/>
        </w:r>
      </w:p>
    </w:sdtContent>
  </w:sdt>
  <w:p w14:paraId="4BE05617" w14:textId="77777777" w:rsidR="00E475EA" w:rsidRDefault="00E475EA">
    <w:pPr>
      <w:pStyle w:val="Footer"/>
    </w:pPr>
  </w:p>
  <w:p w14:paraId="0F9677DB" w14:textId="77777777" w:rsidR="00E475EA" w:rsidRDefault="00E475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5EA02" w14:textId="77777777" w:rsidR="00D01A98" w:rsidRDefault="00D01A98" w:rsidP="0048643F">
      <w:pPr>
        <w:spacing w:before="0" w:after="0"/>
      </w:pPr>
      <w:r>
        <w:separator/>
      </w:r>
    </w:p>
  </w:footnote>
  <w:footnote w:type="continuationSeparator" w:id="0">
    <w:p w14:paraId="415B1791" w14:textId="77777777" w:rsidR="00D01A98" w:rsidRDefault="00D01A98" w:rsidP="0048643F">
      <w:pPr>
        <w:spacing w:before="0" w:after="0"/>
      </w:pPr>
      <w:r>
        <w:continuationSeparator/>
      </w:r>
    </w:p>
  </w:footnote>
  <w:footnote w:id="1">
    <w:p w14:paraId="6F41C07B" w14:textId="77777777" w:rsidR="009E0D21" w:rsidRDefault="009E0D21" w:rsidP="009E0D21">
      <w:r>
        <w:rPr>
          <w:rStyle w:val="FootnoteReference"/>
        </w:rPr>
        <w:footnoteRef/>
      </w:r>
      <w:r>
        <w:t xml:space="preserve"> </w:t>
      </w:r>
      <w:r w:rsidRPr="00AC4178">
        <w:rPr>
          <w:noProof/>
          <w:lang w:eastAsia="en-AU"/>
        </w:rPr>
        <w:drawing>
          <wp:inline distT="0" distB="0" distL="0" distR="0" wp14:anchorId="488214A9" wp14:editId="415F797A">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F41"/>
    <w:multiLevelType w:val="hybridMultilevel"/>
    <w:tmpl w:val="77846E1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E9688D"/>
    <w:multiLevelType w:val="hybridMultilevel"/>
    <w:tmpl w:val="75D84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5A293F"/>
    <w:multiLevelType w:val="hybridMultilevel"/>
    <w:tmpl w:val="D578D968"/>
    <w:lvl w:ilvl="0" w:tplc="E81AE248">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C5252FD"/>
    <w:multiLevelType w:val="hybridMultilevel"/>
    <w:tmpl w:val="1AACC19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26E33F0"/>
    <w:multiLevelType w:val="hybridMultilevel"/>
    <w:tmpl w:val="5C269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AB3F20"/>
    <w:multiLevelType w:val="hybridMultilevel"/>
    <w:tmpl w:val="C01C8D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2E71681"/>
    <w:multiLevelType w:val="hybridMultilevel"/>
    <w:tmpl w:val="EFBEF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A95857"/>
    <w:multiLevelType w:val="hybridMultilevel"/>
    <w:tmpl w:val="BA9A3CA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8556238"/>
    <w:multiLevelType w:val="hybridMultilevel"/>
    <w:tmpl w:val="85B03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8C3964"/>
    <w:multiLevelType w:val="hybridMultilevel"/>
    <w:tmpl w:val="0544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473169"/>
    <w:multiLevelType w:val="hybridMultilevel"/>
    <w:tmpl w:val="68A04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0563A02"/>
    <w:multiLevelType w:val="hybridMultilevel"/>
    <w:tmpl w:val="49465A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53506AA8"/>
    <w:multiLevelType w:val="hybridMultilevel"/>
    <w:tmpl w:val="FD44B5B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647C33E4"/>
    <w:multiLevelType w:val="hybridMultilevel"/>
    <w:tmpl w:val="FB2C82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5066C3D"/>
    <w:multiLevelType w:val="hybridMultilevel"/>
    <w:tmpl w:val="3B6ACD0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F97448A"/>
    <w:multiLevelType w:val="hybridMultilevel"/>
    <w:tmpl w:val="4752783A"/>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7072030F"/>
    <w:multiLevelType w:val="hybridMultilevel"/>
    <w:tmpl w:val="ECE497B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13B3C91"/>
    <w:multiLevelType w:val="hybridMultilevel"/>
    <w:tmpl w:val="B09CD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A0F576A"/>
    <w:multiLevelType w:val="hybridMultilevel"/>
    <w:tmpl w:val="69A43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15"/>
  </w:num>
  <w:num w:numId="5">
    <w:abstractNumId w:val="5"/>
  </w:num>
  <w:num w:numId="6">
    <w:abstractNumId w:val="7"/>
  </w:num>
  <w:num w:numId="7">
    <w:abstractNumId w:val="12"/>
  </w:num>
  <w:num w:numId="8">
    <w:abstractNumId w:val="0"/>
  </w:num>
  <w:num w:numId="9">
    <w:abstractNumId w:val="18"/>
  </w:num>
  <w:num w:numId="10">
    <w:abstractNumId w:val="13"/>
  </w:num>
  <w:num w:numId="11">
    <w:abstractNumId w:val="11"/>
  </w:num>
  <w:num w:numId="12">
    <w:abstractNumId w:val="4"/>
  </w:num>
  <w:num w:numId="13">
    <w:abstractNumId w:val="10"/>
  </w:num>
  <w:num w:numId="14">
    <w:abstractNumId w:val="6"/>
  </w:num>
  <w:num w:numId="15">
    <w:abstractNumId w:val="2"/>
  </w:num>
  <w:num w:numId="16">
    <w:abstractNumId w:val="17"/>
  </w:num>
  <w:num w:numId="17">
    <w:abstractNumId w:val="2"/>
  </w:num>
  <w:num w:numId="18">
    <w:abstractNumId w:val="1"/>
  </w:num>
  <w:num w:numId="19">
    <w:abstractNumId w:val="8"/>
  </w:num>
  <w:num w:numId="20">
    <w:abstractNumId w:val="2"/>
    <w:lvlOverride w:ilvl="0">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07A90"/>
    <w:rsid w:val="000360C5"/>
    <w:rsid w:val="00082454"/>
    <w:rsid w:val="00083470"/>
    <w:rsid w:val="000F1906"/>
    <w:rsid w:val="00131C60"/>
    <w:rsid w:val="0014331B"/>
    <w:rsid w:val="00143D59"/>
    <w:rsid w:val="00195D7E"/>
    <w:rsid w:val="001A0D36"/>
    <w:rsid w:val="00205DC2"/>
    <w:rsid w:val="0025134C"/>
    <w:rsid w:val="00355ABE"/>
    <w:rsid w:val="00377F7D"/>
    <w:rsid w:val="003B28CE"/>
    <w:rsid w:val="003E1807"/>
    <w:rsid w:val="003E4E23"/>
    <w:rsid w:val="004670C2"/>
    <w:rsid w:val="0048643F"/>
    <w:rsid w:val="0048677B"/>
    <w:rsid w:val="004A3B45"/>
    <w:rsid w:val="004C1E10"/>
    <w:rsid w:val="00532F30"/>
    <w:rsid w:val="006F706B"/>
    <w:rsid w:val="00713087"/>
    <w:rsid w:val="00722DE4"/>
    <w:rsid w:val="00773405"/>
    <w:rsid w:val="00793115"/>
    <w:rsid w:val="007C7063"/>
    <w:rsid w:val="00823C4F"/>
    <w:rsid w:val="00861878"/>
    <w:rsid w:val="00880BCF"/>
    <w:rsid w:val="008B576F"/>
    <w:rsid w:val="008D15EF"/>
    <w:rsid w:val="008E5D09"/>
    <w:rsid w:val="008F537E"/>
    <w:rsid w:val="008F6509"/>
    <w:rsid w:val="0098298E"/>
    <w:rsid w:val="009865F1"/>
    <w:rsid w:val="00996CB7"/>
    <w:rsid w:val="009C2ADB"/>
    <w:rsid w:val="009E0D21"/>
    <w:rsid w:val="00A2655A"/>
    <w:rsid w:val="00A555EE"/>
    <w:rsid w:val="00AC500A"/>
    <w:rsid w:val="00B70B4A"/>
    <w:rsid w:val="00BA7131"/>
    <w:rsid w:val="00BF2369"/>
    <w:rsid w:val="00BF7252"/>
    <w:rsid w:val="00C44075"/>
    <w:rsid w:val="00C97B7A"/>
    <w:rsid w:val="00CB1A73"/>
    <w:rsid w:val="00CD0263"/>
    <w:rsid w:val="00D01A98"/>
    <w:rsid w:val="00D26F40"/>
    <w:rsid w:val="00D32241"/>
    <w:rsid w:val="00D841D3"/>
    <w:rsid w:val="00D959A4"/>
    <w:rsid w:val="00DC588F"/>
    <w:rsid w:val="00DD5643"/>
    <w:rsid w:val="00E475EA"/>
    <w:rsid w:val="00E9302C"/>
    <w:rsid w:val="00EE16E3"/>
    <w:rsid w:val="00EE32D2"/>
    <w:rsid w:val="00FD733D"/>
    <w:rsid w:val="2C902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7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98298E"/>
    <w:pPr>
      <w:numPr>
        <w:numId w:val="15"/>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25134C"/>
    <w:rPr>
      <w:color w:val="0000FF" w:themeColor="hyperlink"/>
      <w:u w:val="single"/>
    </w:rPr>
  </w:style>
  <w:style w:type="character" w:styleId="FollowedHyperlink">
    <w:name w:val="FollowedHyperlink"/>
    <w:basedOn w:val="DefaultParagraphFont"/>
    <w:uiPriority w:val="99"/>
    <w:semiHidden/>
    <w:unhideWhenUsed/>
    <w:rsid w:val="007130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98298E"/>
    <w:pPr>
      <w:numPr>
        <w:numId w:val="15"/>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25134C"/>
    <w:rPr>
      <w:color w:val="0000FF" w:themeColor="hyperlink"/>
      <w:u w:val="single"/>
    </w:rPr>
  </w:style>
  <w:style w:type="character" w:styleId="FollowedHyperlink">
    <w:name w:val="FollowedHyperlink"/>
    <w:basedOn w:val="DefaultParagraphFont"/>
    <w:uiPriority w:val="99"/>
    <w:semiHidden/>
    <w:unhideWhenUsed/>
    <w:rsid w:val="007130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Rowland</cp:lastModifiedBy>
  <cp:revision>3</cp:revision>
  <dcterms:created xsi:type="dcterms:W3CDTF">2016-08-21T20:47:00Z</dcterms:created>
  <dcterms:modified xsi:type="dcterms:W3CDTF">2016-08-21T22:24:00Z</dcterms:modified>
</cp:coreProperties>
</file>